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99A5D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</w:t>
      </w:r>
    </w:p>
    <w:p w14:paraId="6C138F6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</w:t>
      </w:r>
    </w:p>
    <w:p w14:paraId="2C25164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25D3E3A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081B387A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6CDCAFBE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694EF4D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1514072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«Литература»</w:t>
      </w:r>
    </w:p>
    <w:p w14:paraId="3BF02B4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33028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2368C662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литературе. </w:t>
            </w:r>
          </w:p>
          <w:p w14:paraId="07B86CB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5 класс</w:t>
            </w:r>
          </w:p>
          <w:p w14:paraId="492EF42E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0CBFBEA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6B2F7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  <w:shd w:val="clear" w:color="auto" w:fill="auto"/>
          </w:tcPr>
          <w:p w14:paraId="02F0C6A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E160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  <w:tcBorders>
              <w:bottom w:val="single" w:color="auto" w:sz="4" w:space="0"/>
            </w:tcBorders>
            <w:shd w:val="clear" w:color="auto" w:fill="auto"/>
          </w:tcPr>
          <w:p w14:paraId="17E4E00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9830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0B81C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сопоставлять темы и сюжеты произведений, образы персонажей;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4E35580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085D68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67F6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5228A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37D74AB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47B3A7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95C2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8A34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16B8FAC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1190EDE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33BCA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  <w:tcBorders>
              <w:top w:val="single" w:color="auto" w:sz="4" w:space="0"/>
            </w:tcBorders>
          </w:tcPr>
          <w:p w14:paraId="42C498C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0B255F1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2771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90" w:type="dxa"/>
          </w:tcPr>
          <w:p w14:paraId="66E127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66BED826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2B69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6EA4F6A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BB2BAD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91BB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4174C6D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7EC5E62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8B3D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090" w:type="dxa"/>
          </w:tcPr>
          <w:p w14:paraId="083C660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5152EDE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C013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763EED5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8346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35FBE0C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Наблюдение</w:t>
            </w:r>
          </w:p>
        </w:tc>
      </w:tr>
      <w:tr w14:paraId="1FB62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0E45F7C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D40883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103B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9466E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08A968D"/>
    <w:tbl>
      <w:tblPr>
        <w:tblStyle w:val="5"/>
        <w:tblW w:w="1007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985"/>
      </w:tblGrid>
      <w:tr w14:paraId="3DB39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5364370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литературе. </w:t>
            </w:r>
          </w:p>
          <w:p w14:paraId="2B892D9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48A7ECC0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40A2B98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10A3D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  <w:shd w:val="clear" w:color="auto" w:fill="auto"/>
          </w:tcPr>
          <w:p w14:paraId="2DA76A1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0A9EFED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514F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  <w:tcBorders>
              <w:bottom w:val="single" w:color="auto" w:sz="4" w:space="0"/>
            </w:tcBorders>
            <w:shd w:val="clear" w:color="auto" w:fill="auto"/>
          </w:tcPr>
          <w:p w14:paraId="78A2339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1EFC6E0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E772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DF9E7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color="auto" w:sz="4" w:space="0"/>
            </w:tcBorders>
          </w:tcPr>
          <w:p w14:paraId="1E56374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1E9B14B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8639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  <w:tcBorders>
              <w:top w:val="single" w:color="auto" w:sz="4" w:space="0"/>
            </w:tcBorders>
          </w:tcPr>
          <w:p w14:paraId="7C92C9D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657264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58247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090" w:type="dxa"/>
          </w:tcPr>
          <w:p w14:paraId="20E300F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FA92CB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0784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09621B0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0D0F568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692A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41C9EE9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72737C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12D05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90" w:type="dxa"/>
          </w:tcPr>
          <w:p w14:paraId="63B9C81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73DA2528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D4E3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5E1F764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BEA79C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6F1A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1BC1E83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E42E255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13A5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1FD3630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E768C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661639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91B0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50672B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6EEA1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BE118A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Наблюдение</w:t>
            </w:r>
          </w:p>
        </w:tc>
      </w:tr>
      <w:tr w14:paraId="01B51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517F69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5254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EC9CF5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796F1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741A699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литературе.</w:t>
            </w:r>
          </w:p>
          <w:p w14:paraId="6D4E3CAC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. Этап формирования: 7 класс</w:t>
            </w:r>
          </w:p>
          <w:p w14:paraId="6D7A7683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3345021E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71FA1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</w:tcPr>
          <w:p w14:paraId="773CEFC7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Федерации.</w:t>
            </w:r>
          </w:p>
          <w:p w14:paraId="35C147BD">
            <w:pPr>
              <w:pStyle w:val="6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2E9E4C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44C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</w:tcPr>
          <w:p w14:paraId="0414BE7D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652129C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6B730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561C538D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4E3F3F7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6CC0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</w:tcPr>
          <w:p w14:paraId="015231BA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</w:p>
        </w:tc>
        <w:tc>
          <w:tcPr>
            <w:tcW w:w="1843" w:type="dxa"/>
          </w:tcPr>
          <w:p w14:paraId="72854F5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494A69D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ED7D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90" w:type="dxa"/>
          </w:tcPr>
          <w:p w14:paraId="4B53529C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6950B1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3F3E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70D13C0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7DF5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68B7D446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089F71D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0628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90" w:type="dxa"/>
          </w:tcPr>
          <w:p w14:paraId="4F42F9FF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>
            <w:pPr>
              <w:pStyle w:val="6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1BFA67B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DEC4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02EF68F5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79AEB1E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34D5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2BCAFEB3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034B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0F3DA5E6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A603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168F4D7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1FB8AA0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Наблюдение</w:t>
            </w:r>
          </w:p>
        </w:tc>
      </w:tr>
      <w:tr w14:paraId="2FFE7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74F3CFF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5E3D2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4C9E5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DFE4DCD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FFB74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FB24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C28051A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392DC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5CFF2D7E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литературе.</w:t>
            </w:r>
          </w:p>
          <w:p w14:paraId="661B381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2D2D2D40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645C4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</w:tcPr>
          <w:p w14:paraId="64915EFA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7F59B8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70E33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</w:tcPr>
          <w:p w14:paraId="0E0C85F5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>
            <w:pPr>
              <w:pStyle w:val="6"/>
              <w:spacing w:line="252" w:lineRule="exact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выделять в произведениях элементы художественной формы и обнаруживать связи между ними, определять родо-жанровую специфику изученного художественного произведения;</w:t>
            </w:r>
          </w:p>
          <w:p w14:paraId="42A1B8AA">
            <w:pPr>
              <w:pStyle w:val="6"/>
              <w:spacing w:line="252" w:lineRule="exact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32581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7AE3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36D23D90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69FA702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9C99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</w:tcPr>
          <w:p w14:paraId="093E3513">
            <w:pPr>
              <w:pStyle w:val="6"/>
              <w:spacing w:line="238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286D5E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1547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090" w:type="dxa"/>
          </w:tcPr>
          <w:p w14:paraId="47D31FC0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>
            <w:pPr>
              <w:widowControl w:val="0"/>
              <w:autoSpaceDE w:val="0"/>
              <w:autoSpaceDN w:val="0"/>
              <w:spacing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372BAB39">
            <w:pPr>
              <w:widowControl w:val="0"/>
              <w:autoSpaceDE w:val="0"/>
              <w:autoSpaceDN w:val="0"/>
              <w:spacing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8141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090" w:type="dxa"/>
          </w:tcPr>
          <w:p w14:paraId="216C5335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  <w:r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170B504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D0D2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084BB0B2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  <w:r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479BB2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0C1D0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090" w:type="dxa"/>
          </w:tcPr>
          <w:p w14:paraId="5CF809EE">
            <w:pPr>
              <w:pStyle w:val="6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06D09CD3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1CA8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255B6E76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>
            <w:pPr>
              <w:pStyle w:val="6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FA32B8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783E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7B47DA79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>
            <w:pPr>
              <w:pStyle w:val="6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108A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39127044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>
            <w:pPr>
              <w:pStyle w:val="6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7289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  <w:tcBorders>
              <w:top w:val="nil"/>
            </w:tcBorders>
          </w:tcPr>
          <w:p w14:paraId="4B5E6322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627926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6C5D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AB50667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>
            <w:pPr>
              <w:pStyle w:val="6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Наблюдение</w:t>
            </w:r>
          </w:p>
        </w:tc>
      </w:tr>
      <w:tr w14:paraId="38B49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DC944B2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>
            <w:pPr>
              <w:pStyle w:val="6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5980AE8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0A582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43D00EF">
            <w:pPr>
              <w:pStyle w:val="6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/>
    <w:tbl>
      <w:tblPr>
        <w:tblStyle w:val="5"/>
        <w:tblW w:w="1007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7"/>
        <w:gridCol w:w="2268"/>
      </w:tblGrid>
      <w:tr w14:paraId="1AB4E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7" w:type="dxa"/>
            <w:shd w:val="clear" w:color="auto" w:fill="EAF1DD"/>
          </w:tcPr>
          <w:p w14:paraId="59C2DA8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литературе. </w:t>
            </w:r>
          </w:p>
          <w:p w14:paraId="0DB7EFFE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9 класс</w:t>
            </w:r>
          </w:p>
          <w:p w14:paraId="647EA91B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52800D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618E1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7" w:type="dxa"/>
          </w:tcPr>
          <w:p w14:paraId="2A42BEEE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</w:p>
        </w:tc>
        <w:tc>
          <w:tcPr>
            <w:tcW w:w="2268" w:type="dxa"/>
          </w:tcPr>
          <w:p w14:paraId="4B6569A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7EE04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7" w:type="dxa"/>
          </w:tcPr>
          <w:p w14:paraId="22249985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</w:p>
        </w:tc>
        <w:tc>
          <w:tcPr>
            <w:tcW w:w="2268" w:type="dxa"/>
          </w:tcPr>
          <w:p w14:paraId="5FA4E26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5990C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7" w:type="dxa"/>
          </w:tcPr>
          <w:p w14:paraId="7E269CC0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1F09E48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34F36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807" w:type="dxa"/>
          </w:tcPr>
          <w:p w14:paraId="225AD04A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0F57E1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6BF1B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807" w:type="dxa"/>
          </w:tcPr>
          <w:p w14:paraId="4895501E">
            <w:pPr>
              <w:pStyle w:val="6"/>
              <w:spacing w:line="238" w:lineRule="exact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>
            <w:pPr>
              <w:widowControl w:val="0"/>
              <w:autoSpaceDE w:val="0"/>
              <w:autoSpaceDN w:val="0"/>
              <w:spacing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>
            <w:pPr>
              <w:widowControl w:val="0"/>
              <w:autoSpaceDE w:val="0"/>
              <w:autoSpaceDN w:val="0"/>
              <w:spacing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29B89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7807" w:type="dxa"/>
          </w:tcPr>
          <w:p w14:paraId="3E747F8D">
            <w:pPr>
              <w:pStyle w:val="6"/>
              <w:spacing w:line="240" w:lineRule="exact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</w:tc>
        <w:tc>
          <w:tcPr>
            <w:tcW w:w="2268" w:type="dxa"/>
          </w:tcPr>
          <w:p w14:paraId="07EE67EB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11D3C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7" w:type="dxa"/>
          </w:tcPr>
          <w:p w14:paraId="380859F7">
            <w:pPr>
              <w:pStyle w:val="6"/>
              <w:spacing w:line="240" w:lineRule="exact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</w:t>
            </w:r>
          </w:p>
        </w:tc>
        <w:tc>
          <w:tcPr>
            <w:tcW w:w="2268" w:type="dxa"/>
          </w:tcPr>
          <w:p w14:paraId="2DB9357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364B4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807" w:type="dxa"/>
          </w:tcPr>
          <w:p w14:paraId="05618132">
            <w:pPr>
              <w:pStyle w:val="6"/>
              <w:spacing w:line="240" w:lineRule="exact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      </w:r>
          </w:p>
        </w:tc>
        <w:tc>
          <w:tcPr>
            <w:tcW w:w="2268" w:type="dxa"/>
          </w:tcPr>
          <w:p w14:paraId="7509F96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4EFBD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7" w:type="dxa"/>
          </w:tcPr>
          <w:p w14:paraId="0707E060">
            <w:pPr>
              <w:pStyle w:val="6"/>
              <w:spacing w:line="240" w:lineRule="exact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2268" w:type="dxa"/>
          </w:tcPr>
          <w:p w14:paraId="2FA8FE0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54707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807" w:type="dxa"/>
          </w:tcPr>
          <w:p w14:paraId="1A6054EC">
            <w:pPr>
              <w:pStyle w:val="6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0749D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807" w:type="dxa"/>
          </w:tcPr>
          <w:p w14:paraId="211106DC">
            <w:pPr>
              <w:pStyle w:val="6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>
            <w:pPr>
              <w:pStyle w:val="6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4E18E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</w:trPr>
        <w:tc>
          <w:tcPr>
            <w:tcW w:w="7807" w:type="dxa"/>
          </w:tcPr>
          <w:p w14:paraId="46213738">
            <w:pPr>
              <w:pStyle w:val="6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>
            <w:pPr>
              <w:pStyle w:val="6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77AAB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C0A2E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14:paraId="2136F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A9E21E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F87A0F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7DD50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E65631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1E352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10BB76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14:paraId="6BD9C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807" w:type="dxa"/>
          </w:tcPr>
          <w:p w14:paraId="0A7075D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14:paraId="0C1FD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F2FFD7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14:paraId="22A29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CFF678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/>
    <w:p w14:paraId="009B3693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Требования</w:t>
      </w:r>
      <w:r>
        <w:rPr>
          <w:rFonts w:ascii="Times New Roman" w:hAnsi="Times New Roman" w:eastAsia="Times New Roman" w:cs="Times New Roman"/>
          <w:b/>
          <w:spacing w:val="-5"/>
        </w:rPr>
        <w:t xml:space="preserve"> </w:t>
      </w:r>
      <w:r>
        <w:rPr>
          <w:rFonts w:ascii="Times New Roman" w:hAnsi="Times New Roman" w:eastAsia="Times New Roman" w:cs="Times New Roman"/>
          <w:b/>
        </w:rPr>
        <w:t>к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выставлению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отметок</w:t>
      </w:r>
      <w:r>
        <w:rPr>
          <w:rFonts w:ascii="Times New Roman" w:hAnsi="Times New Roman" w:eastAsia="Times New Roman" w:cs="Times New Roman"/>
          <w:b/>
          <w:spacing w:val="-4"/>
        </w:rPr>
        <w:t xml:space="preserve"> </w:t>
      </w:r>
      <w:r>
        <w:rPr>
          <w:rFonts w:ascii="Times New Roman" w:hAnsi="Times New Roman" w:eastAsia="Times New Roman" w:cs="Times New Roman"/>
          <w:b/>
        </w:rPr>
        <w:t>за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промежуточную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аттестацию</w:t>
      </w:r>
    </w:p>
    <w:p w14:paraId="5D895BF3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обучающихся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осуществляется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пятибалльной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системе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оценивания.</w:t>
      </w:r>
    </w:p>
    <w:p w14:paraId="79995C1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форме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контрольная</w:t>
      </w:r>
      <w:r>
        <w:rPr>
          <w:rFonts w:ascii="Times New Roman" w:hAnsi="Times New Roman" w:eastAsia="Times New Roman" w:cs="Times New Roman"/>
          <w:b/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</w:rPr>
        <w:t>работа,</w:t>
      </w:r>
      <w:r>
        <w:rPr>
          <w:rFonts w:ascii="Times New Roman" w:hAnsi="Times New Roman" w:eastAsia="Times New Roman" w:cs="Times New Roman"/>
          <w:b/>
          <w:spacing w:val="32"/>
        </w:rPr>
        <w:t xml:space="preserve"> </w:t>
      </w:r>
      <w:r>
        <w:rPr>
          <w:rFonts w:ascii="Times New Roman" w:hAnsi="Times New Roman" w:eastAsia="Times New Roman" w:cs="Times New Roman"/>
        </w:rPr>
        <w:t>состоящая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сочинения-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рассуждения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прочитанному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оценивается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 следующим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критериям:</w:t>
      </w:r>
    </w:p>
    <w:p w14:paraId="0B6F7385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Содержание:</w:t>
      </w:r>
    </w:p>
    <w:p w14:paraId="4DAF6498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соответствие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ученика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теме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основной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мысли;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  <w:color w:val="242424"/>
        </w:rPr>
        <w:t>ученик</w:t>
      </w:r>
      <w:r>
        <w:rPr>
          <w:rFonts w:ascii="Times New Roman" w:hAnsi="Times New Roman" w:eastAsia="Times New Roman" w:cs="Times New Roman"/>
          <w:color w:val="242424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содержанию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5CB30CA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полнота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раскрытия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темы;</w:t>
      </w:r>
    </w:p>
    <w:p w14:paraId="5BF98962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отсутствие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интерпретации;</w:t>
      </w:r>
    </w:p>
    <w:p w14:paraId="0F185437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приведены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два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которые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33636CC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правильность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</w:rPr>
        <w:t>фактического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материала;</w:t>
      </w:r>
    </w:p>
    <w:p w14:paraId="08506A2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последовательность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изложения.</w:t>
      </w:r>
    </w:p>
    <w:p w14:paraId="10062B6C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Речевое</w:t>
      </w:r>
      <w:r>
        <w:rPr>
          <w:rFonts w:ascii="Times New Roman" w:hAnsi="Times New Roman" w:eastAsia="Times New Roman" w:cs="Times New Roman"/>
          <w:i/>
          <w:spacing w:val="-2"/>
        </w:rPr>
        <w:t xml:space="preserve"> </w:t>
      </w:r>
      <w:r>
        <w:rPr>
          <w:rFonts w:ascii="Times New Roman" w:hAnsi="Times New Roman" w:eastAsia="Times New Roman" w:cs="Times New Roman"/>
          <w:i/>
        </w:rPr>
        <w:t>оформление</w:t>
      </w:r>
      <w:r>
        <w:rPr>
          <w:rFonts w:ascii="Times New Roman" w:hAnsi="Times New Roman" w:eastAsia="Times New Roman" w:cs="Times New Roman"/>
          <w:i/>
          <w:spacing w:val="-2"/>
        </w:rPr>
        <w:t xml:space="preserve"> </w:t>
      </w:r>
      <w:r>
        <w:rPr>
          <w:rFonts w:ascii="Times New Roman" w:hAnsi="Times New Roman" w:eastAsia="Times New Roman" w:cs="Times New Roman"/>
          <w:i/>
        </w:rPr>
        <w:t>сочинения:</w:t>
      </w:r>
    </w:p>
    <w:p w14:paraId="57BC975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разнообразие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словаря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грамматического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строя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речи;</w:t>
      </w:r>
    </w:p>
    <w:p w14:paraId="7907AF6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стилевое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единство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выразительность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речи;</w:t>
      </w:r>
    </w:p>
    <w:p w14:paraId="36E14D2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отсутствие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наличие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7C5A7EE7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hAnsi="Times New Roman" w:eastAsia="Times New Roman" w:cs="Times New Roman"/>
        </w:rPr>
      </w:pPr>
    </w:p>
    <w:p w14:paraId="36C34FAA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«5»:</w:t>
      </w:r>
    </w:p>
    <w:p w14:paraId="7DD40E6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полностью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соответствует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теме</w:t>
      </w:r>
      <w:r>
        <w:rPr>
          <w:rFonts w:ascii="Times New Roman" w:hAnsi="Times New Roman" w:eastAsia="Times New Roman" w:cs="Times New Roman"/>
          <w:color w:val="242424"/>
        </w:rPr>
        <w:t>;</w:t>
      </w:r>
    </w:p>
    <w:p w14:paraId="4B38DFC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5FEEB4C8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нет;</w:t>
      </w:r>
    </w:p>
    <w:p w14:paraId="639A396A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приведены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два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которые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 текста;</w:t>
      </w:r>
    </w:p>
    <w:p w14:paraId="2E9992C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отсутствуют;</w:t>
      </w:r>
    </w:p>
    <w:p w14:paraId="54A03B5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излагается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последовательно;</w:t>
      </w:r>
    </w:p>
    <w:p w14:paraId="2210BBFE">
      <w:pPr>
        <w:widowControl w:val="0"/>
        <w:numPr>
          <w:ilvl w:val="0"/>
          <w:numId w:val="2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богатством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словаря,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разнообразием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1"/>
        </w:rPr>
        <w:t>используемых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синтаксических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конструкций, точностью словоупотребления;</w:t>
      </w:r>
    </w:p>
    <w:p w14:paraId="7708B4C5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</w:rPr>
        <w:t>достигнуто стилевое единство и выразительность текста.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 1 недочет в содержании и 1—2 речевых недочета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1"/>
        </w:rPr>
        <w:t xml:space="preserve"> </w:t>
      </w:r>
      <w:r>
        <w:rPr>
          <w:rFonts w:ascii="Times New Roman" w:hAnsi="Times New Roman" w:eastAsia="Times New Roman" w:cs="Times New Roman"/>
          <w:b/>
        </w:rPr>
        <w:t>«4»:</w:t>
      </w:r>
    </w:p>
    <w:p w14:paraId="240BDDEF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764DD0B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один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пример-иллюстрация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соответствующий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224E0EB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основном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достоверно,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но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имеются.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единичные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неточности;</w:t>
      </w:r>
    </w:p>
    <w:p w14:paraId="27969E4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имеются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незначительные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нарушения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последовательности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изложении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мыслей;</w:t>
      </w:r>
    </w:p>
    <w:p w14:paraId="5843CF6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лексический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грамматический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строй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достаточно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разнообразен;</w:t>
      </w:r>
    </w:p>
    <w:p w14:paraId="3C79988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единством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выразительностью;</w:t>
      </w:r>
    </w:p>
    <w:p w14:paraId="1FDD96F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использованы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приемы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сжатия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текста.</w:t>
      </w:r>
    </w:p>
    <w:p w14:paraId="12F62BE0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недочетов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3—4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08FDDA30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«3»:</w:t>
      </w:r>
    </w:p>
    <w:p w14:paraId="0DA8248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допустил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две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3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фрагмента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текста, привёл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пример(ы) 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прочитанного текста;</w:t>
      </w:r>
    </w:p>
    <w:p w14:paraId="068F0925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достоверна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главном,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но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ней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имеются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отдельные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неточности;</w:t>
      </w:r>
    </w:p>
    <w:p w14:paraId="385E94B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допущены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отдельные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нарушения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последовательности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изложения;</w:t>
      </w:r>
    </w:p>
    <w:p w14:paraId="1F7B831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беден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rFonts w:ascii="Times New Roman" w:hAnsi="Times New Roman" w:eastAsia="Times New Roman" w:cs="Times New Roman"/>
        </w:rPr>
        <w:t>словарь,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однообразны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употребляемые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синтаксические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конструкции,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встречается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неправильное словоупотребление;</w:t>
      </w:r>
    </w:p>
    <w:p w14:paraId="606046E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стиль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единством,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недостаточно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выразительна.</w:t>
      </w:r>
    </w:p>
    <w:p w14:paraId="688C949C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недочетов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742E0135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«2»:</w:t>
      </w:r>
    </w:p>
    <w:p w14:paraId="23F1349C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соответствует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теме;</w:t>
      </w:r>
    </w:p>
    <w:p w14:paraId="777BFCF1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ученик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неверное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</w:rPr>
        <w:t>фрагмента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привёл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ни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одного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объясняющего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6AA3933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много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неточностей;</w:t>
      </w:r>
    </w:p>
    <w:p w14:paraId="2052E9D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нарушена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последовательность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изложения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мыслей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во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всех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частях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работы,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отсутствует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связь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между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ними;</w:t>
      </w:r>
    </w:p>
    <w:p w14:paraId="27E29110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крайне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беден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словарь,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написана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короткими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однотипными предложениями со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слабо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выраженной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связью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между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ними,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часты случаи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неправильного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словоупотребления;</w:t>
      </w:r>
    </w:p>
    <w:p w14:paraId="39E3DB1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нарушено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стилевое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единство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текста.</w:t>
      </w:r>
    </w:p>
    <w:p w14:paraId="7559F299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6 недочетов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до 7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16BCDC9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</w:rPr>
      </w:pPr>
    </w:p>
    <w:p w14:paraId="6667037D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Отметки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за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промежуточную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аттестацию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фиксируются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учителем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журнале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успеваемости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дневнике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обучающегося (электронном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журнале).</w:t>
      </w:r>
    </w:p>
    <w:p w14:paraId="18FDB791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5877F164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0C74809E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6C76E777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График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мероприятий</w:t>
      </w:r>
    </w:p>
    <w:tbl>
      <w:tblPr>
        <w:tblStyle w:val="4"/>
        <w:tblW w:w="0" w:type="auto"/>
        <w:tblInd w:w="13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3"/>
        <w:gridCol w:w="2054"/>
        <w:gridCol w:w="2796"/>
        <w:gridCol w:w="1977"/>
      </w:tblGrid>
      <w:tr w14:paraId="368E44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513" w:type="dxa"/>
          </w:tcPr>
          <w:p w14:paraId="289AB7AB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мероприятие</w:t>
            </w:r>
          </w:p>
        </w:tc>
        <w:tc>
          <w:tcPr>
            <w:tcW w:w="2054" w:type="dxa"/>
          </w:tcPr>
          <w:p w14:paraId="5284E347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контроля</w:t>
            </w:r>
          </w:p>
        </w:tc>
        <w:tc>
          <w:tcPr>
            <w:tcW w:w="2796" w:type="dxa"/>
          </w:tcPr>
          <w:p w14:paraId="4F0FF18F">
            <w:pPr>
              <w:widowControl w:val="0"/>
              <w:autoSpaceDE w:val="0"/>
              <w:autoSpaceDN w:val="0"/>
              <w:spacing w:before="72" w:after="0" w:line="240" w:lineRule="auto"/>
              <w:ind w:left="53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проведения</w:t>
            </w:r>
          </w:p>
        </w:tc>
        <w:tc>
          <w:tcPr>
            <w:tcW w:w="1977" w:type="dxa"/>
          </w:tcPr>
          <w:p w14:paraId="31B2E1D4">
            <w:pPr>
              <w:widowControl w:val="0"/>
              <w:autoSpaceDE w:val="0"/>
              <w:autoSpaceDN w:val="0"/>
              <w:spacing w:before="72" w:after="0" w:line="240" w:lineRule="auto"/>
              <w:ind w:left="608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Классы</w:t>
            </w:r>
          </w:p>
        </w:tc>
      </w:tr>
      <w:tr w14:paraId="003A8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0AE8BA74">
            <w:pPr>
              <w:widowControl w:val="0"/>
              <w:autoSpaceDE w:val="0"/>
              <w:autoSpaceDN w:val="0"/>
              <w:spacing w:before="70" w:after="0" w:line="240" w:lineRule="auto"/>
              <w:ind w:left="150" w:right="334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задания</w:t>
            </w:r>
          </w:p>
        </w:tc>
        <w:tc>
          <w:tcPr>
            <w:tcW w:w="2054" w:type="dxa"/>
          </w:tcPr>
          <w:p w14:paraId="1D45B6D4">
            <w:pPr>
              <w:widowControl w:val="0"/>
              <w:autoSpaceDE w:val="0"/>
              <w:autoSpaceDN w:val="0"/>
              <w:spacing w:before="70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Текущий</w:t>
            </w:r>
          </w:p>
        </w:tc>
        <w:tc>
          <w:tcPr>
            <w:tcW w:w="2796" w:type="dxa"/>
          </w:tcPr>
          <w:p w14:paraId="1683AFD2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каждом уроке</w:t>
            </w:r>
          </w:p>
        </w:tc>
        <w:tc>
          <w:tcPr>
            <w:tcW w:w="1977" w:type="dxa"/>
          </w:tcPr>
          <w:p w14:paraId="54FCC5BB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0AAE2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60ED8098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Творческая</w:t>
            </w:r>
            <w:r>
              <w:rPr>
                <w:rFonts w:ascii="Times New Roman" w:hAnsi="Times New Roman" w:eastAsia="Times New Roman" w:cs="Times New Roman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работа</w:t>
            </w:r>
          </w:p>
        </w:tc>
        <w:tc>
          <w:tcPr>
            <w:tcW w:w="2054" w:type="dxa"/>
          </w:tcPr>
          <w:p w14:paraId="126B384A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365B346B">
            <w:pPr>
              <w:widowControl w:val="0"/>
              <w:autoSpaceDE w:val="0"/>
              <w:autoSpaceDN w:val="0"/>
              <w:spacing w:before="64" w:after="0" w:line="240" w:lineRule="auto"/>
              <w:ind w:left="152" w:right="723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раздела</w:t>
            </w:r>
          </w:p>
        </w:tc>
        <w:tc>
          <w:tcPr>
            <w:tcW w:w="1977" w:type="dxa"/>
          </w:tcPr>
          <w:p w14:paraId="63F6B5ED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02C644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2513" w:type="dxa"/>
          </w:tcPr>
          <w:p w14:paraId="55784843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Сочинение</w:t>
            </w:r>
          </w:p>
        </w:tc>
        <w:tc>
          <w:tcPr>
            <w:tcW w:w="2054" w:type="dxa"/>
          </w:tcPr>
          <w:p w14:paraId="02791FBD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7BC350A0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0EF90876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  <w:tr w14:paraId="0ED90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513" w:type="dxa"/>
          </w:tcPr>
          <w:p w14:paraId="0B3EADBB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контроль</w:t>
            </w:r>
          </w:p>
        </w:tc>
        <w:tc>
          <w:tcPr>
            <w:tcW w:w="2054" w:type="dxa"/>
          </w:tcPr>
          <w:p w14:paraId="7E9BA07F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Итоговый</w:t>
            </w:r>
          </w:p>
        </w:tc>
        <w:tc>
          <w:tcPr>
            <w:tcW w:w="2796" w:type="dxa"/>
          </w:tcPr>
          <w:p w14:paraId="3369167F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6190E61E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</w:tbl>
    <w:p w14:paraId="3603E533"/>
    <w:sectPr>
      <w:pgSz w:w="11906" w:h="16838"/>
      <w:pgMar w:top="568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560261"/>
    <w:multiLevelType w:val="multilevel"/>
    <w:tmpl w:val="17560261"/>
    <w:lvl w:ilvl="0" w:tentative="0">
      <w:start w:val="0"/>
      <w:numFmt w:val="bullet"/>
      <w:lvlText w:val=""/>
      <w:lvlJc w:val="left"/>
      <w:pPr>
        <w:ind w:left="122" w:hanging="708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5BF87EB0"/>
    <w:multiLevelType w:val="multilevel"/>
    <w:tmpl w:val="5BF87EB0"/>
    <w:lvl w:ilvl="0" w:tentative="0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981" w:hanging="360"/>
      </w:pPr>
    </w:lvl>
    <w:lvl w:ilvl="2" w:tentative="0">
      <w:start w:val="1"/>
      <w:numFmt w:val="lowerRoman"/>
      <w:lvlText w:val="%3."/>
      <w:lvlJc w:val="right"/>
      <w:pPr>
        <w:ind w:left="1701" w:hanging="180"/>
      </w:pPr>
    </w:lvl>
    <w:lvl w:ilvl="3" w:tentative="0">
      <w:start w:val="1"/>
      <w:numFmt w:val="decimal"/>
      <w:lvlText w:val="%4."/>
      <w:lvlJc w:val="left"/>
      <w:pPr>
        <w:ind w:left="2421" w:hanging="360"/>
      </w:pPr>
    </w:lvl>
    <w:lvl w:ilvl="4" w:tentative="0">
      <w:start w:val="1"/>
      <w:numFmt w:val="lowerLetter"/>
      <w:lvlText w:val="%5."/>
      <w:lvlJc w:val="left"/>
      <w:pPr>
        <w:ind w:left="3141" w:hanging="360"/>
      </w:pPr>
    </w:lvl>
    <w:lvl w:ilvl="5" w:tentative="0">
      <w:start w:val="1"/>
      <w:numFmt w:val="lowerRoman"/>
      <w:lvlText w:val="%6."/>
      <w:lvlJc w:val="right"/>
      <w:pPr>
        <w:ind w:left="3861" w:hanging="180"/>
      </w:pPr>
    </w:lvl>
    <w:lvl w:ilvl="6" w:tentative="0">
      <w:start w:val="1"/>
      <w:numFmt w:val="decimal"/>
      <w:lvlText w:val="%7."/>
      <w:lvlJc w:val="left"/>
      <w:pPr>
        <w:ind w:left="4581" w:hanging="360"/>
      </w:pPr>
    </w:lvl>
    <w:lvl w:ilvl="7" w:tentative="0">
      <w:start w:val="1"/>
      <w:numFmt w:val="lowerLetter"/>
      <w:lvlText w:val="%8."/>
      <w:lvlJc w:val="left"/>
      <w:pPr>
        <w:ind w:left="5301" w:hanging="360"/>
      </w:pPr>
    </w:lvl>
    <w:lvl w:ilvl="8" w:tentative="0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624543"/>
    <w:rsid w:val="00633635"/>
    <w:rsid w:val="00660E45"/>
    <w:rsid w:val="006723A9"/>
    <w:rsid w:val="00785DB9"/>
    <w:rsid w:val="007B3FB8"/>
    <w:rsid w:val="007C13DC"/>
    <w:rsid w:val="0083317F"/>
    <w:rsid w:val="008E3A1E"/>
    <w:rsid w:val="00950E36"/>
    <w:rsid w:val="00986D3F"/>
    <w:rsid w:val="009B55E7"/>
    <w:rsid w:val="00A07F87"/>
    <w:rsid w:val="00AF31E4"/>
    <w:rsid w:val="00AF57F4"/>
    <w:rsid w:val="00B6381C"/>
    <w:rsid w:val="00C87257"/>
    <w:rsid w:val="00CE093F"/>
    <w:rsid w:val="00D83338"/>
    <w:rsid w:val="00DC7DDD"/>
    <w:rsid w:val="00E64E93"/>
    <w:rsid w:val="00E829A3"/>
    <w:rsid w:val="00E87E35"/>
    <w:rsid w:val="00EF66BE"/>
    <w:rsid w:val="00F10744"/>
    <w:rsid w:val="0225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1EC5-FC7B-4D7A-BEBE-62CA722145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</Pages>
  <Words>4766</Words>
  <Characters>27169</Characters>
  <Lines>226</Lines>
  <Paragraphs>63</Paragraphs>
  <TotalTime>245</TotalTime>
  <ScaleCrop>false</ScaleCrop>
  <LinksUpToDate>false</LinksUpToDate>
  <CharactersWithSpaces>31872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2024-12-22T07:14:51Z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55A072474D06450B950160B4EC7A8DD5_12</vt:lpwstr>
  </property>
</Properties>
</file>